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>Обгрунтування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(відповідно до пункту 4</w:t>
      </w:r>
      <w:r>
        <w:rPr>
          <w:sz w:val="22"/>
          <w:szCs w:val="22"/>
          <w:vertAlign w:val="superscript"/>
        </w:rPr>
        <w:t xml:space="preserve">1 </w:t>
      </w:r>
      <w:r>
        <w:rPr>
          <w:sz w:val="22"/>
          <w:szCs w:val="22"/>
        </w:rPr>
        <w:t xml:space="preserve">постанови КМУ від 11.10.2016 № 710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«Про ефективне використання державних коштів»)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Процедура закупівлі: </w:t>
      </w:r>
      <w:r>
        <w:rPr>
          <w:sz w:val="22"/>
          <w:szCs w:val="22"/>
        </w:rPr>
        <w:t xml:space="preserve">Відкриті торги 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ar-SA" w:bidi="ar-SA"/>
        </w:rPr>
        <w:t>з особливостями</w:t>
      </w:r>
      <w:r>
        <w:rPr>
          <w:sz w:val="22"/>
          <w:szCs w:val="22"/>
        </w:rPr>
        <w:t>.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Назва закупівлі:</w:t>
      </w:r>
      <w:r>
        <w:rPr>
          <w:b w:val="false"/>
          <w:bCs w:val="false"/>
          <w:sz w:val="22"/>
          <w:szCs w:val="22"/>
          <w:lang w:val="uk-UA"/>
        </w:rPr>
        <w:t xml:space="preserve"> </w:t>
      </w:r>
      <w:r>
        <w:rPr>
          <w:b w:val="false"/>
          <w:bCs w:val="false"/>
          <w:sz w:val="22"/>
          <w:szCs w:val="22"/>
          <w:lang w:val="en-US"/>
        </w:rPr>
        <w:t>П</w:t>
      </w:r>
      <w:r>
        <w:rPr>
          <w:b w:val="false"/>
          <w:bCs w:val="false"/>
          <w:sz w:val="22"/>
          <w:szCs w:val="22"/>
          <w:lang w:val="uk-UA"/>
        </w:rPr>
        <w:t>ослуги з благоустрою (послуги з відведення стічних вод)</w:t>
      </w:r>
      <w:r>
        <w:rPr>
          <w:rStyle w:val="Style14"/>
          <w:rFonts w:eastAsia="Calibri" w:cs="Times New Roman"/>
          <w:b w:val="false"/>
          <w:bCs w:val="false"/>
          <w:color w:val="auto"/>
          <w:kern w:val="0"/>
          <w:sz w:val="22"/>
          <w:szCs w:val="22"/>
          <w:lang w:val="uk-UA" w:eastAsia="en-US" w:bidi="ar-SA"/>
        </w:rPr>
        <w:t>, ДК 2015-90430000-0</w:t>
      </w:r>
      <w:r>
        <w:rPr>
          <w:b w:val="false"/>
          <w:bCs w:val="false"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Ідентифікатор закупівлі: </w:t>
      </w:r>
      <w:r>
        <w:rPr>
          <w:sz w:val="22"/>
          <w:szCs w:val="22"/>
          <w:lang w:val="en-US"/>
        </w:rPr>
        <w:t>UA-2025-</w:t>
      </w:r>
      <w:r>
        <w:rPr>
          <w:rFonts w:eastAsia="Times New Roman" w:cs="Times New Roman"/>
          <w:color w:val="auto"/>
          <w:kern w:val="0"/>
          <w:sz w:val="22"/>
          <w:szCs w:val="22"/>
          <w:lang w:val="en-US" w:eastAsia="ar-SA" w:bidi="ar-SA"/>
        </w:rPr>
        <w:t>0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ar-SA" w:bidi="ar-SA"/>
        </w:rPr>
        <w:t>2</w:t>
      </w:r>
      <w:r>
        <w:rPr>
          <w:sz w:val="22"/>
          <w:szCs w:val="22"/>
          <w:lang w:val="en-US"/>
        </w:rPr>
        <w:t>-</w:t>
      </w:r>
      <w:r>
        <w:rPr>
          <w:rFonts w:eastAsia="Times New Roman" w:cs="Times New Roman"/>
          <w:color w:val="auto"/>
          <w:kern w:val="0"/>
          <w:sz w:val="22"/>
          <w:szCs w:val="22"/>
          <w:lang w:val="en-US" w:eastAsia="ar-SA" w:bidi="ar-SA"/>
        </w:rPr>
        <w:t>0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ar-SA" w:bidi="ar-SA"/>
        </w:rPr>
        <w:t>4</w:t>
      </w:r>
      <w:r>
        <w:rPr>
          <w:sz w:val="22"/>
          <w:szCs w:val="22"/>
          <w:lang w:val="en-US"/>
        </w:rPr>
        <w:t>-0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ar-SA" w:bidi="ar-SA"/>
        </w:rPr>
        <w:t>14913</w:t>
      </w:r>
      <w:r>
        <w:rPr>
          <w:sz w:val="22"/>
          <w:szCs w:val="22"/>
          <w:lang w:val="en-US"/>
        </w:rPr>
        <w:t>-a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 xml:space="preserve">Очікувана вартість предмета закупівлі: </w:t>
      </w:r>
      <w:r>
        <w:rPr>
          <w:b w:val="false"/>
          <w:bCs w:val="false"/>
          <w:sz w:val="22"/>
          <w:szCs w:val="22"/>
        </w:rPr>
        <w:t>300 000</w:t>
      </w:r>
      <w:r>
        <w:rPr>
          <w:rStyle w:val="Style14"/>
          <w:rFonts w:cs="Times New Roman"/>
          <w:b w:val="false"/>
          <w:bCs w:val="false"/>
          <w:iCs/>
          <w:color w:val="000000"/>
          <w:sz w:val="22"/>
          <w:szCs w:val="22"/>
          <w:shd w:fill="FFFFFF" w:val="clear"/>
          <w:lang w:val="uk-UA" w:eastAsia="ru-RU"/>
        </w:rPr>
        <w:t xml:space="preserve">,00 </w:t>
      </w:r>
      <w:r>
        <w:rPr>
          <w:rStyle w:val="Style14"/>
          <w:rFonts w:cs="Times New Roman"/>
          <w:b w:val="false"/>
          <w:bCs w:val="false"/>
          <w:color w:val="000000"/>
          <w:sz w:val="22"/>
          <w:szCs w:val="22"/>
          <w:shd w:fill="FFFFFF" w:val="clear"/>
          <w:lang w:val="uk-UA" w:eastAsia="ru-RU"/>
        </w:rPr>
        <w:t>грн</w:t>
      </w:r>
      <w:r>
        <w:rPr>
          <w:b w:val="false"/>
          <w:bCs w:val="false"/>
          <w:sz w:val="22"/>
          <w:szCs w:val="22"/>
        </w:rPr>
        <w:t>.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Обгрунтування розміру бюджетного призначення: </w:t>
      </w:r>
      <w:r>
        <w:rPr>
          <w:sz w:val="22"/>
          <w:szCs w:val="22"/>
        </w:rPr>
        <w:t>розмір бюджетного призначення визначений відповідно до бюджет</w:t>
      </w:r>
      <w:r>
        <w:rPr>
          <w:sz w:val="22"/>
          <w:szCs w:val="22"/>
          <w:lang w:val="uk-UA"/>
        </w:rPr>
        <w:t>у</w:t>
      </w:r>
      <w:r>
        <w:rPr>
          <w:sz w:val="22"/>
          <w:szCs w:val="22"/>
        </w:rPr>
        <w:t xml:space="preserve"> Прилуцької міської територіальної громади на 202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ar-SA" w:bidi="ar-SA"/>
        </w:rPr>
        <w:t>5</w:t>
      </w:r>
      <w:r>
        <w:rPr>
          <w:sz w:val="22"/>
          <w:szCs w:val="22"/>
        </w:rPr>
        <w:t xml:space="preserve"> рік;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Обґрунтування  технічних та якісних характеристик предмета закупівлі: </w:t>
      </w:r>
      <w:r>
        <w:rPr>
          <w:b w:val="false"/>
          <w:bCs w:val="false"/>
          <w:sz w:val="22"/>
          <w:szCs w:val="22"/>
        </w:rPr>
        <w:t>Обсяги робіт визначені на підставі дефектного акту, складеного балансоутримувачем мереж водовідведення.</w:t>
      </w:r>
    </w:p>
    <w:p>
      <w:pPr>
        <w:pStyle w:val="Style20"/>
        <w:spacing w:lineRule="auto" w:line="240" w:before="0" w:after="0"/>
        <w:ind w:left="786" w:right="0"/>
        <w:jc w:val="both"/>
        <w:rPr/>
      </w:pPr>
      <w:r>
        <w:rPr>
          <w:rFonts w:cs="Times New Roman"/>
          <w:b/>
          <w:sz w:val="24"/>
          <w:szCs w:val="24"/>
          <w:lang w:val="uk-UA"/>
        </w:rPr>
        <w:t>Обсяги робіт:</w:t>
      </w:r>
    </w:p>
    <w:tbl>
      <w:tblPr>
        <w:tblW w:w="9870" w:type="dxa"/>
        <w:jc w:val="left"/>
        <w:tblInd w:w="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181"/>
        <w:gridCol w:w="1305"/>
        <w:gridCol w:w="1425"/>
      </w:tblGrid>
      <w:tr>
        <w:trPr>
          <w:trHeight w:val="425" w:hRule="atLeast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spacing w:before="0" w:after="0"/>
              <w:jc w:val="right"/>
              <w:rPr/>
            </w:pPr>
            <w:r>
              <w:rPr>
                <w:szCs w:val="24"/>
              </w:rPr>
              <w:t>№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szCs w:val="24"/>
              </w:rPr>
              <w:t>з/п</w:t>
            </w:r>
          </w:p>
        </w:tc>
        <w:tc>
          <w:tcPr>
            <w:tcW w:w="6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Найменування предмета закупівлі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szCs w:val="24"/>
              </w:rPr>
              <w:t>К</w:t>
            </w:r>
            <w:r>
              <w:rPr>
                <w:szCs w:val="24"/>
                <w:lang w:val="uk-UA"/>
              </w:rPr>
              <w:t>-т</w:t>
            </w:r>
            <w:r>
              <w:rPr>
                <w:szCs w:val="24"/>
              </w:rPr>
              <w:t>ь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szCs w:val="24"/>
              </w:rPr>
              <w:t>Од</w:t>
            </w:r>
            <w:r>
              <w:rPr>
                <w:szCs w:val="24"/>
                <w:lang w:val="uk-UA"/>
              </w:rPr>
              <w:t>.</w:t>
            </w:r>
            <w:r>
              <w:rPr>
                <w:szCs w:val="24"/>
              </w:rPr>
              <w:t xml:space="preserve"> виміру</w:t>
            </w:r>
          </w:p>
        </w:tc>
      </w:tr>
      <w:tr>
        <w:trPr>
          <w:trHeight w:val="535" w:hRule="atLeast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spacing w:before="0" w:after="28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1"/>
              <w:spacing w:before="0" w:after="0"/>
              <w:rPr>
                <w:rFonts w:eastAsia="Andale Sans UI;Arial Unicode MS" w:cs="Times New Roman"/>
                <w:color w:val="auto"/>
                <w:kern w:val="2"/>
                <w:sz w:val="24"/>
                <w:szCs w:val="24"/>
                <w:lang w:val="uk-UA" w:eastAsia="zh-CN" w:bidi="fa-IR"/>
              </w:rPr>
            </w:pPr>
            <w:r>
              <w:rPr>
                <w:rFonts w:eastAsia="Andale Sans UI;Arial Unicode MS" w:cs="Times New Roman"/>
                <w:color w:val="auto"/>
                <w:kern w:val="2"/>
                <w:sz w:val="24"/>
                <w:szCs w:val="24"/>
                <w:lang w:val="uk-UA" w:eastAsia="zh-CN" w:bidi="fa-IR"/>
              </w:rPr>
              <w:t>Технічний огляд мережі зливової каналізації без спускання до колодязя у літній період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tabs>
                <w:tab w:val="clear" w:pos="708"/>
                <w:tab w:val="left" w:pos="270" w:leader="none"/>
                <w:tab w:val="center" w:pos="560" w:leader="none"/>
              </w:tabs>
              <w:spacing w:before="0" w:after="280"/>
              <w:jc w:val="center"/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</w:pPr>
            <w:r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  <w:t>5,149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spacing w:before="0" w:after="280"/>
              <w:jc w:val="center"/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</w:pPr>
            <w:r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  <w:t>км</w:t>
            </w:r>
          </w:p>
        </w:tc>
      </w:tr>
      <w:tr>
        <w:trPr>
          <w:trHeight w:val="405" w:hRule="atLeast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spacing w:before="0" w:after="28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6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1"/>
              <w:spacing w:before="0" w:after="0"/>
              <w:rPr>
                <w:rFonts w:eastAsia="Andale Sans UI;Arial Unicode MS" w:cs="Times New Roman"/>
                <w:color w:val="auto"/>
                <w:kern w:val="2"/>
                <w:sz w:val="24"/>
                <w:szCs w:val="24"/>
                <w:lang w:val="uk-UA" w:eastAsia="zh-CN" w:bidi="fa-IR"/>
              </w:rPr>
            </w:pPr>
            <w:r>
              <w:rPr>
                <w:rFonts w:eastAsia="Andale Sans UI;Arial Unicode MS" w:cs="Times New Roman"/>
                <w:color w:val="auto"/>
                <w:kern w:val="2"/>
                <w:sz w:val="24"/>
                <w:szCs w:val="24"/>
                <w:lang w:val="uk-UA" w:eastAsia="zh-CN" w:bidi="fa-IR"/>
              </w:rPr>
              <w:t>Пошук і відкривання вручну без допомоги приладу оглядових каналізаційних колодязів на території без твердого покриття.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tabs>
                <w:tab w:val="clear" w:pos="708"/>
                <w:tab w:val="left" w:pos="270" w:leader="none"/>
                <w:tab w:val="center" w:pos="560" w:leader="none"/>
              </w:tabs>
              <w:spacing w:before="0" w:after="280"/>
              <w:jc w:val="center"/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</w:pPr>
            <w:r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  <w:t>124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spacing w:before="0" w:after="280"/>
              <w:jc w:val="center"/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</w:pPr>
            <w:r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  <w:t>колодязь</w:t>
            </w:r>
          </w:p>
        </w:tc>
      </w:tr>
      <w:tr>
        <w:trPr>
          <w:trHeight w:val="507" w:hRule="atLeast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spacing w:before="0" w:after="28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6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1"/>
              <w:spacing w:before="0" w:after="0"/>
              <w:rPr>
                <w:rFonts w:eastAsia="Andale Sans UI;Arial Unicode MS" w:cs="Times New Roman"/>
                <w:color w:val="auto"/>
                <w:kern w:val="2"/>
                <w:sz w:val="24"/>
                <w:szCs w:val="24"/>
                <w:lang w:val="uk-UA" w:eastAsia="zh-CN" w:bidi="fa-IR"/>
              </w:rPr>
            </w:pPr>
            <w:r>
              <w:rPr>
                <w:rFonts w:eastAsia="Andale Sans UI;Arial Unicode MS" w:cs="Times New Roman"/>
                <w:color w:val="auto"/>
                <w:kern w:val="2"/>
                <w:sz w:val="24"/>
                <w:szCs w:val="24"/>
                <w:lang w:val="uk-UA" w:eastAsia="zh-CN" w:bidi="fa-IR"/>
              </w:rPr>
              <w:t>Прочищання каналізаційних оглядових колодязів глибиною до 3 м з відкачуванням мулу. Маса осаду до 300 кг.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tabs>
                <w:tab w:val="clear" w:pos="708"/>
                <w:tab w:val="left" w:pos="270" w:leader="none"/>
                <w:tab w:val="center" w:pos="560" w:leader="none"/>
              </w:tabs>
              <w:spacing w:before="0" w:after="280"/>
              <w:jc w:val="center"/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</w:pPr>
            <w:r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spacing w:before="0" w:after="280"/>
              <w:jc w:val="center"/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</w:pPr>
            <w:r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  <w:t>колодязь</w:t>
            </w:r>
          </w:p>
        </w:tc>
      </w:tr>
      <w:tr>
        <w:trPr/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spacing w:before="0" w:after="28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6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1"/>
              <w:spacing w:before="0" w:after="0"/>
              <w:rPr>
                <w:rFonts w:eastAsia="Andale Sans UI;Arial Unicode MS" w:cs="Times New Roman"/>
                <w:color w:val="auto"/>
                <w:kern w:val="2"/>
                <w:sz w:val="24"/>
                <w:szCs w:val="24"/>
                <w:lang w:val="uk-UA" w:eastAsia="zh-CN" w:bidi="fa-IR"/>
              </w:rPr>
            </w:pPr>
            <w:r>
              <w:rPr>
                <w:rFonts w:eastAsia="Andale Sans UI;Arial Unicode MS" w:cs="Times New Roman"/>
                <w:color w:val="auto"/>
                <w:kern w:val="2"/>
                <w:sz w:val="24"/>
                <w:szCs w:val="24"/>
                <w:lang w:val="uk-UA" w:eastAsia="zh-CN" w:bidi="fa-IR"/>
              </w:rPr>
              <w:t>Прочищання каналізаційних оглядових колодязів глибиною до 3 м вручну  без відкачування мулу. Маса осаду до 300 кг.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tabs>
                <w:tab w:val="clear" w:pos="708"/>
                <w:tab w:val="left" w:pos="270" w:leader="none"/>
                <w:tab w:val="center" w:pos="560" w:leader="none"/>
              </w:tabs>
              <w:spacing w:before="0" w:after="280"/>
              <w:jc w:val="center"/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</w:pPr>
            <w:r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  <w:t>89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spacing w:before="0" w:after="280"/>
              <w:jc w:val="center"/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</w:pPr>
            <w:r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  <w:t>колодязь</w:t>
            </w:r>
          </w:p>
        </w:tc>
      </w:tr>
      <w:tr>
        <w:trPr>
          <w:trHeight w:val="335" w:hRule="atLeast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spacing w:before="0" w:after="28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6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1"/>
              <w:spacing w:before="0" w:after="0"/>
              <w:rPr>
                <w:rFonts w:eastAsia="Andale Sans UI;Arial Unicode MS" w:cs="Times New Roman"/>
                <w:color w:val="auto"/>
                <w:kern w:val="2"/>
                <w:sz w:val="24"/>
                <w:szCs w:val="24"/>
                <w:lang w:val="uk-UA" w:eastAsia="zh-CN" w:bidi="fa-IR"/>
              </w:rPr>
            </w:pPr>
            <w:r>
              <w:rPr>
                <w:rFonts w:eastAsia="Andale Sans UI;Arial Unicode MS" w:cs="Times New Roman"/>
                <w:color w:val="auto"/>
                <w:kern w:val="2"/>
                <w:sz w:val="24"/>
                <w:szCs w:val="24"/>
                <w:lang w:val="uk-UA" w:eastAsia="zh-CN" w:bidi="fa-IR"/>
              </w:rPr>
              <w:t>Водовідлив талих і стічних вод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tabs>
                <w:tab w:val="clear" w:pos="708"/>
                <w:tab w:val="left" w:pos="270" w:leader="none"/>
                <w:tab w:val="center" w:pos="560" w:leader="none"/>
              </w:tabs>
              <w:spacing w:before="0" w:after="280"/>
              <w:jc w:val="center"/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</w:pPr>
            <w:r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  <w:t>160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spacing w:before="0" w:after="280"/>
              <w:jc w:val="center"/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</w:pPr>
            <w:r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  <w:t>м3</w:t>
            </w:r>
          </w:p>
        </w:tc>
      </w:tr>
      <w:tr>
        <w:trPr>
          <w:trHeight w:val="41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spacing w:before="0" w:after="28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6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1"/>
              <w:spacing w:before="0" w:after="0"/>
              <w:rPr>
                <w:rFonts w:eastAsia="Andale Sans UI;Arial Unicode MS" w:cs="Times New Roman"/>
                <w:color w:val="auto"/>
                <w:kern w:val="2"/>
                <w:sz w:val="24"/>
                <w:szCs w:val="24"/>
                <w:lang w:val="uk-UA" w:eastAsia="zh-CN" w:bidi="fa-IR"/>
              </w:rPr>
            </w:pPr>
            <w:r>
              <w:rPr>
                <w:rFonts w:eastAsia="Andale Sans UI;Arial Unicode MS" w:cs="Times New Roman"/>
                <w:color w:val="auto"/>
                <w:kern w:val="2"/>
                <w:sz w:val="24"/>
                <w:szCs w:val="24"/>
                <w:lang w:val="uk-UA" w:eastAsia="zh-CN" w:bidi="fa-IR"/>
              </w:rPr>
              <w:t>Перевезення мотопомпи ручної транспортом</w:t>
            </w: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tabs>
                <w:tab w:val="clear" w:pos="708"/>
                <w:tab w:val="left" w:pos="270" w:leader="none"/>
                <w:tab w:val="center" w:pos="560" w:leader="none"/>
              </w:tabs>
              <w:spacing w:before="0" w:after="280"/>
              <w:jc w:val="center"/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</w:pPr>
            <w:r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  <w:t>6</w:t>
            </w:r>
          </w:p>
        </w:tc>
        <w:tc>
          <w:tcPr>
            <w:tcW w:w="14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spacing w:before="0" w:after="280"/>
              <w:jc w:val="center"/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</w:pPr>
            <w:r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  <w:t>година</w:t>
            </w:r>
          </w:p>
        </w:tc>
      </w:tr>
      <w:tr>
        <w:trPr>
          <w:trHeight w:val="41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spacing w:before="0" w:after="28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</w:t>
            </w:r>
          </w:p>
        </w:tc>
        <w:tc>
          <w:tcPr>
            <w:tcW w:w="6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1"/>
              <w:spacing w:before="0" w:after="0"/>
              <w:rPr>
                <w:rFonts w:eastAsia="Andale Sans UI;Arial Unicode MS" w:cs="Times New Roman"/>
                <w:color w:val="auto"/>
                <w:kern w:val="2"/>
                <w:sz w:val="24"/>
                <w:szCs w:val="24"/>
                <w:lang w:val="uk-UA" w:eastAsia="zh-CN" w:bidi="fa-IR"/>
              </w:rPr>
            </w:pPr>
            <w:r>
              <w:rPr>
                <w:rFonts w:eastAsia="Andale Sans UI;Arial Unicode MS" w:cs="Times New Roman"/>
                <w:color w:val="auto"/>
                <w:kern w:val="2"/>
                <w:sz w:val="24"/>
                <w:szCs w:val="24"/>
                <w:lang w:val="uk-UA" w:eastAsia="zh-CN" w:bidi="fa-IR"/>
              </w:rPr>
              <w:t>Установлення решітки дощоприймача</w:t>
            </w: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tabs>
                <w:tab w:val="clear" w:pos="708"/>
                <w:tab w:val="left" w:pos="270" w:leader="none"/>
                <w:tab w:val="center" w:pos="560" w:leader="none"/>
              </w:tabs>
              <w:spacing w:before="0" w:after="280"/>
              <w:jc w:val="center"/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</w:pPr>
            <w:r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  <w:t>6</w:t>
            </w:r>
          </w:p>
        </w:tc>
        <w:tc>
          <w:tcPr>
            <w:tcW w:w="14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spacing w:before="0" w:after="280"/>
              <w:jc w:val="center"/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</w:pPr>
            <w:r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  <w:t>шт</w:t>
            </w:r>
          </w:p>
        </w:tc>
      </w:tr>
      <w:tr>
        <w:trPr>
          <w:trHeight w:val="41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spacing w:before="0" w:after="28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6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1"/>
              <w:spacing w:before="0" w:after="0"/>
              <w:rPr>
                <w:rFonts w:eastAsia="Andale Sans UI;Arial Unicode MS" w:cs="Times New Roman"/>
                <w:color w:val="auto"/>
                <w:kern w:val="2"/>
                <w:sz w:val="24"/>
                <w:szCs w:val="24"/>
                <w:lang w:val="uk-UA" w:eastAsia="zh-CN" w:bidi="fa-IR"/>
              </w:rPr>
            </w:pPr>
            <w:r>
              <w:rPr>
                <w:rFonts w:eastAsia="Andale Sans UI;Arial Unicode MS" w:cs="Times New Roman"/>
                <w:color w:val="auto"/>
                <w:kern w:val="2"/>
                <w:sz w:val="24"/>
                <w:szCs w:val="24"/>
                <w:lang w:val="uk-UA" w:eastAsia="zh-CN" w:bidi="fa-IR"/>
              </w:rPr>
              <w:t>Установлення люка</w:t>
            </w: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tabs>
                <w:tab w:val="clear" w:pos="708"/>
                <w:tab w:val="left" w:pos="270" w:leader="none"/>
                <w:tab w:val="center" w:pos="560" w:leader="none"/>
              </w:tabs>
              <w:spacing w:before="0" w:after="280"/>
              <w:jc w:val="center"/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</w:pPr>
            <w:r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  <w:t>2</w:t>
            </w:r>
          </w:p>
        </w:tc>
        <w:tc>
          <w:tcPr>
            <w:tcW w:w="14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spacing w:before="0" w:after="280"/>
              <w:jc w:val="center"/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</w:pPr>
            <w:r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  <w:t>шт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snapToGrid w:val="false"/>
              <w:spacing w:before="0" w:after="28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</w:t>
            </w:r>
          </w:p>
        </w:tc>
        <w:tc>
          <w:tcPr>
            <w:tcW w:w="6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1"/>
              <w:snapToGrid w:val="false"/>
              <w:spacing w:before="0" w:after="0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Перекладання горловин цегляних колодязів ливневої каналізації</w:t>
            </w: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tabs>
                <w:tab w:val="clear" w:pos="708"/>
                <w:tab w:val="left" w:pos="270" w:leader="none"/>
                <w:tab w:val="center" w:pos="560" w:leader="none"/>
              </w:tabs>
              <w:snapToGrid w:val="false"/>
              <w:spacing w:before="0" w:after="28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1,9</w:t>
            </w:r>
          </w:p>
        </w:tc>
        <w:tc>
          <w:tcPr>
            <w:tcW w:w="14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snapToGrid w:val="false"/>
              <w:spacing w:before="0" w:after="28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м3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snapToGrid w:val="false"/>
              <w:spacing w:before="0" w:after="28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</w:t>
            </w:r>
          </w:p>
        </w:tc>
        <w:tc>
          <w:tcPr>
            <w:tcW w:w="6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1"/>
              <w:snapToGrid w:val="false"/>
              <w:spacing w:before="0" w:after="0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Приготування цементного розчину</w:t>
            </w: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tabs>
                <w:tab w:val="clear" w:pos="708"/>
                <w:tab w:val="left" w:pos="270" w:leader="none"/>
                <w:tab w:val="center" w:pos="560" w:leader="none"/>
              </w:tabs>
              <w:snapToGrid w:val="false"/>
              <w:spacing w:before="0" w:after="28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0,84</w:t>
            </w:r>
          </w:p>
        </w:tc>
        <w:tc>
          <w:tcPr>
            <w:tcW w:w="14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snapToGrid w:val="false"/>
              <w:spacing w:before="0" w:after="28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м3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snapToGrid w:val="false"/>
              <w:spacing w:before="0" w:after="28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</w:t>
            </w:r>
          </w:p>
        </w:tc>
        <w:tc>
          <w:tcPr>
            <w:tcW w:w="6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1"/>
              <w:snapToGrid w:val="false"/>
              <w:spacing w:before="0" w:after="0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Прочищання відкритої ливневої каналізації від каменів, зарослі, гілок та бруду вручну</w:t>
            </w: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tabs>
                <w:tab w:val="clear" w:pos="708"/>
                <w:tab w:val="left" w:pos="270" w:leader="none"/>
                <w:tab w:val="center" w:pos="560" w:leader="none"/>
              </w:tabs>
              <w:snapToGrid w:val="false"/>
              <w:spacing w:before="0" w:after="28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132</w:t>
            </w:r>
          </w:p>
        </w:tc>
        <w:tc>
          <w:tcPr>
            <w:tcW w:w="14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snapToGrid w:val="false"/>
              <w:spacing w:before="0" w:after="28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м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snapToGrid w:val="false"/>
              <w:spacing w:before="0" w:after="28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</w:t>
            </w:r>
          </w:p>
        </w:tc>
        <w:tc>
          <w:tcPr>
            <w:tcW w:w="6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1"/>
              <w:snapToGrid w:val="false"/>
              <w:spacing w:before="0" w:after="0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Очищення отворів водопропускних труб від бруду та насосів вручну</w:t>
            </w: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tabs>
                <w:tab w:val="clear" w:pos="708"/>
                <w:tab w:val="left" w:pos="270" w:leader="none"/>
                <w:tab w:val="center" w:pos="560" w:leader="none"/>
              </w:tabs>
              <w:snapToGrid w:val="false"/>
              <w:spacing w:before="0" w:after="28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4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snapToGrid w:val="false"/>
              <w:spacing w:before="0" w:after="28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м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snapToGrid w:val="false"/>
              <w:spacing w:before="0" w:after="28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</w:t>
            </w:r>
          </w:p>
        </w:tc>
        <w:tc>
          <w:tcPr>
            <w:tcW w:w="6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1"/>
              <w:spacing w:before="0" w:after="0"/>
              <w:rPr>
                <w:rFonts w:eastAsia="Andale Sans UI;Arial Unicode MS" w:cs="Times New Roman"/>
                <w:color w:val="auto"/>
                <w:kern w:val="2"/>
                <w:sz w:val="24"/>
                <w:szCs w:val="24"/>
                <w:lang w:val="uk-UA" w:eastAsia="zh-CN" w:bidi="fa-IR"/>
              </w:rPr>
            </w:pPr>
            <w:r>
              <w:rPr>
                <w:rFonts w:eastAsia="Andale Sans UI;Arial Unicode MS" w:cs="Times New Roman"/>
                <w:color w:val="auto"/>
                <w:kern w:val="2"/>
                <w:sz w:val="24"/>
                <w:szCs w:val="24"/>
                <w:lang w:val="uk-UA" w:eastAsia="zh-CN" w:bidi="fa-IR"/>
              </w:rPr>
              <w:t>Навантаження сміття вручну</w:t>
            </w: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tabs>
                <w:tab w:val="clear" w:pos="708"/>
                <w:tab w:val="left" w:pos="270" w:leader="none"/>
                <w:tab w:val="center" w:pos="560" w:leader="none"/>
              </w:tabs>
              <w:spacing w:before="0" w:after="280"/>
              <w:jc w:val="center"/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</w:pPr>
            <w:r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  <w:t>26,7</w:t>
            </w:r>
          </w:p>
        </w:tc>
        <w:tc>
          <w:tcPr>
            <w:tcW w:w="14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spacing w:before="0" w:after="280"/>
              <w:jc w:val="center"/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</w:pPr>
            <w:r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  <w:t>т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snapToGrid w:val="false"/>
              <w:spacing w:before="0" w:after="28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</w:t>
            </w:r>
          </w:p>
        </w:tc>
        <w:tc>
          <w:tcPr>
            <w:tcW w:w="6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1"/>
              <w:spacing w:before="0" w:after="0"/>
              <w:rPr>
                <w:rFonts w:eastAsia="Andale Sans UI;Arial Unicode MS" w:cs="Times New Roman"/>
                <w:color w:val="auto"/>
                <w:kern w:val="2"/>
                <w:sz w:val="24"/>
                <w:szCs w:val="24"/>
                <w:lang w:val="uk-UA" w:eastAsia="zh-CN" w:bidi="fa-IR"/>
              </w:rPr>
            </w:pPr>
            <w:r>
              <w:rPr>
                <w:rFonts w:eastAsia="Andale Sans UI;Arial Unicode MS" w:cs="Times New Roman"/>
                <w:color w:val="auto"/>
                <w:kern w:val="2"/>
                <w:sz w:val="24"/>
                <w:szCs w:val="24"/>
                <w:lang w:val="uk-UA" w:eastAsia="zh-CN" w:bidi="fa-IR"/>
              </w:rPr>
              <w:t>Перевезення сміття до 10 км</w:t>
            </w: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tabs>
                <w:tab w:val="clear" w:pos="708"/>
                <w:tab w:val="left" w:pos="270" w:leader="none"/>
                <w:tab w:val="center" w:pos="560" w:leader="none"/>
              </w:tabs>
              <w:spacing w:before="0" w:after="280"/>
              <w:jc w:val="center"/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</w:pPr>
            <w:r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  <w:t>26,7</w:t>
            </w:r>
          </w:p>
        </w:tc>
        <w:tc>
          <w:tcPr>
            <w:tcW w:w="14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21"/>
              <w:spacing w:before="0" w:after="280"/>
              <w:jc w:val="center"/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</w:pPr>
            <w:r>
              <w:rPr>
                <w:rFonts w:eastAsia="Times New Roman" w:cs="Calibri"/>
                <w:color w:val="auto"/>
                <w:sz w:val="24"/>
                <w:szCs w:val="24"/>
                <w:lang w:val="uk-UA" w:eastAsia="zh-CN" w:bidi="ar-SA"/>
              </w:rPr>
              <w:t>т</w:t>
            </w:r>
          </w:p>
        </w:tc>
      </w:tr>
    </w:tbl>
    <w:p>
      <w:pPr>
        <w:pStyle w:val="Normal"/>
        <w:ind w:firstLine="567" w:right="0"/>
        <w:jc w:val="both"/>
        <w:rPr>
          <w:rFonts w:cs="Times New Roman"/>
          <w:b/>
          <w:sz w:val="24"/>
          <w:szCs w:val="24"/>
          <w:lang w:val="uk-UA" w:eastAsia="en-US"/>
        </w:rPr>
      </w:pPr>
      <w:r>
        <w:rPr>
          <w:rFonts w:cs="Times New Roman"/>
          <w:b/>
          <w:sz w:val="24"/>
          <w:szCs w:val="24"/>
          <w:lang w:val="uk-UA" w:eastAsia="en-US"/>
        </w:rPr>
      </w:r>
    </w:p>
    <w:p>
      <w:pPr>
        <w:pStyle w:val="Normal"/>
        <w:ind w:firstLine="567" w:right="0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Зазначений обсяг закупівлі послуг може уточнюватися (коригуватися) Замовником у межах вартості закупівлі послуг.</w:t>
      </w:r>
    </w:p>
    <w:p>
      <w:pPr>
        <w:pStyle w:val="Normal"/>
        <w:ind w:firstLine="567" w:right="0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Виконавець повинен забезпечити ефективне повноцінне очищення трубопроводів та колодязів від мулу, коренів та листя дерев, гілля, каміння, побутового сміття та інше.</w:t>
      </w:r>
    </w:p>
    <w:p>
      <w:pPr>
        <w:pStyle w:val="Normal"/>
        <w:ind w:firstLine="567" w:right="0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Виконавець несе відповідальність за своєчасне проведення комплексу послуг по об'єктах в терміни установлені договором.</w:t>
      </w:r>
    </w:p>
    <w:p>
      <w:pPr>
        <w:pStyle w:val="Normal"/>
        <w:ind w:firstLine="567" w:right="0"/>
        <w:jc w:val="both"/>
        <w:rPr>
          <w:rFonts w:eastAsia="Times New Roman CYR" w:cs="Times New Roman"/>
          <w:color w:val="000000"/>
          <w:sz w:val="24"/>
          <w:szCs w:val="24"/>
          <w:lang w:val="uk-UA"/>
        </w:rPr>
      </w:pPr>
      <w:r>
        <w:rPr>
          <w:rFonts w:eastAsia="Times New Roman CYR" w:cs="Times New Roman"/>
          <w:color w:val="000000"/>
          <w:sz w:val="24"/>
          <w:szCs w:val="24"/>
          <w:lang w:val="uk-UA"/>
        </w:rPr>
        <w:t>Відповідальність за якість та своєчасне надання послуг несе Виконавець послуг відповідно законодавства.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Гарантійний термін на надані послуги повинен складати не менше ніж 12 (дванадцять) місяців з моменту підписання акту прийому-передачі наданих послуг.</w:t>
      </w:r>
    </w:p>
    <w:p>
      <w:pPr>
        <w:pStyle w:val="Normal"/>
        <w:ind w:firstLine="567" w:righ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Ціну пропозиції слід визначати відповідно до вимог технічного завдання щодо термінів закінчення надання робіт/послуг, технології надання робіт/послуг, з дотриманням діючих норм і правил експлуатації техніки і безпечних умов праці.</w:t>
      </w:r>
    </w:p>
    <w:p>
      <w:pPr>
        <w:pStyle w:val="Normal"/>
        <w:ind w:firstLine="567" w:right="0"/>
        <w:jc w:val="both"/>
        <w:rPr>
          <w:sz w:val="24"/>
          <w:szCs w:val="24"/>
        </w:rPr>
      </w:pPr>
      <w:r>
        <w:rPr>
          <w:sz w:val="24"/>
          <w:szCs w:val="24"/>
        </w:rPr>
        <w:t>Вартість пропозиції та всі інші ціни повинні бути чітко визначені.</w:t>
      </w:r>
    </w:p>
    <w:p>
      <w:pPr>
        <w:pStyle w:val="Normal"/>
        <w:ind w:firstLine="567" w:right="0"/>
        <w:jc w:val="both"/>
        <w:rPr/>
      </w:pPr>
      <w:r>
        <w:rPr>
          <w:rStyle w:val="31"/>
          <w:rFonts w:eastAsia="Times New Roman" w:cs="Times New Roman"/>
          <w:b w:val="false"/>
          <w:bCs w:val="false"/>
          <w:iCs/>
          <w:color w:val="000000"/>
          <w:kern w:val="2"/>
          <w:sz w:val="24"/>
          <w:szCs w:val="24"/>
          <w:shd w:fill="FFFFFF" w:val="clear"/>
          <w:lang w:val="uk-UA" w:eastAsia="zh-CN" w:bidi="ar-SA"/>
        </w:rPr>
        <w:t>Пропозиція учасника, в ціну якої включені будь-які витрати, понесені ним у процесі здійснення процедури закупівлі та укладання договору про закупівлю, відхиляється замовником.</w:t>
      </w:r>
    </w:p>
    <w:p>
      <w:pPr>
        <w:pStyle w:val="Normal"/>
        <w:ind w:firstLine="567" w:right="0"/>
        <w:jc w:val="both"/>
        <w:rPr>
          <w:rFonts w:eastAsia="Times New Roman" w:cs="Times New Roman"/>
          <w:sz w:val="24"/>
          <w:szCs w:val="24"/>
          <w:u w:val="none"/>
          <w:lang w:val="uk-UA"/>
        </w:rPr>
      </w:pPr>
      <w:r>
        <w:rPr>
          <w:rFonts w:eastAsia="Times New Roman" w:cs="Times New Roman"/>
          <w:sz w:val="22"/>
          <w:szCs w:val="22"/>
          <w:u w:val="none"/>
          <w:lang w:val="uk-UA"/>
        </w:rPr>
        <w:t>Ціна тендерної пропозиції вказується з ПДВ (стосується Учасників, які є платниками ПДВ) та підтверджується відповідними розрахунками.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>Начальник управління житлово-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>комунального господарства</w:t>
        <w:tab/>
        <w:tab/>
        <w:tab/>
        <w:tab/>
        <w:tab/>
        <w:tab/>
        <w:tab/>
        <w:t>О</w:t>
      </w:r>
      <w:r>
        <w:rPr>
          <w:lang w:val="uk-UA"/>
        </w:rPr>
        <w:t xml:space="preserve">лег </w:t>
      </w:r>
      <w:r>
        <w:rPr>
          <w:lang w:val="uk-UA"/>
        </w:rPr>
        <w:t>С</w:t>
      </w:r>
      <w:r>
        <w:rPr>
          <w:lang w:val="uk-UA"/>
        </w:rPr>
        <w:t>ОЗІНОВ</w:t>
      </w:r>
    </w:p>
    <w:p>
      <w:pPr>
        <w:pStyle w:val="Normal"/>
        <w:ind w:firstLine="69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1417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583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ar-SA" w:bidi="ar-SA"/>
    </w:rPr>
  </w:style>
  <w:style w:type="paragraph" w:styleId="Heading3">
    <w:name w:val="Heading 3"/>
    <w:basedOn w:val="Normal"/>
    <w:next w:val="BodyText"/>
    <w:qFormat/>
    <w:rsid w:val="0052583c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basedOn w:val="DefaultParagraphFont"/>
    <w:qFormat/>
    <w:rsid w:val="0052583c"/>
    <w:rPr>
      <w:rFonts w:ascii="Times New Roman" w:hAnsi="Times New Roman" w:eastAsia="Times New Roman" w:cs="Times New Roman"/>
      <w:b/>
      <w:bCs/>
      <w:sz w:val="27"/>
      <w:szCs w:val="27"/>
      <w:lang w:val="uk-UA" w:eastAsia="ar-SA"/>
    </w:rPr>
  </w:style>
  <w:style w:type="character" w:styleId="-">
    <w:name w:val="Интернет-ссылка"/>
    <w:qFormat/>
    <w:rsid w:val="0052583c"/>
    <w:rPr>
      <w:color w:val="000080"/>
      <w:u w:val="single"/>
    </w:rPr>
  </w:style>
  <w:style w:type="character" w:styleId="Style13" w:customStyle="1">
    <w:name w:val="Основной текст Знак"/>
    <w:basedOn w:val="DefaultParagraphFont"/>
    <w:uiPriority w:val="99"/>
    <w:semiHidden/>
    <w:qFormat/>
    <w:rsid w:val="0052583c"/>
    <w:rPr>
      <w:rFonts w:ascii="Times New Roman" w:hAnsi="Times New Roman" w:eastAsia="Times New Roman" w:cs="Times New Roman"/>
      <w:sz w:val="24"/>
      <w:szCs w:val="24"/>
      <w:lang w:val="uk-UA" w:eastAsia="ar-SA"/>
    </w:rPr>
  </w:style>
  <w:style w:type="character" w:styleId="2" w:customStyle="1">
    <w:name w:val="Основной шрифт абзаца2"/>
    <w:qFormat/>
    <w:rsid w:val="001125fb"/>
    <w:rPr/>
  </w:style>
  <w:style w:type="character" w:styleId="Style14">
    <w:name w:val="Основной шрифт абзаца"/>
    <w:qFormat/>
    <w:rPr/>
  </w:style>
  <w:style w:type="character" w:styleId="31">
    <w:name w:val="Основной шрифт абзаца3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99"/>
    <w:semiHidden/>
    <w:unhideWhenUsed/>
    <w:rsid w:val="0052583c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52583c"/>
    <w:pPr>
      <w:spacing w:before="280" w:after="280"/>
    </w:pPr>
    <w:rPr/>
  </w:style>
  <w:style w:type="paragraph" w:styleId="Standard" w:customStyle="1">
    <w:name w:val="Standard"/>
    <w:qFormat/>
    <w:rsid w:val="0052583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Style18" w:customStyle="1">
    <w:name w:val="Содержимое таблицы"/>
    <w:basedOn w:val="Normal"/>
    <w:qFormat/>
    <w:rsid w:val="001125fb"/>
    <w:pPr>
      <w:widowControl w:val="false"/>
      <w:suppressLineNumbers/>
    </w:pPr>
    <w:rPr>
      <w:rFonts w:eastAsia="Lucida Sans Unicode" w:cs="Mangal"/>
      <w:kern w:val="2"/>
      <w:sz w:val="28"/>
      <w:lang w:eastAsia="hi-IN" w:bidi="hi-IN"/>
    </w:rPr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Default">
    <w:name w:val="Default"/>
    <w:basedOn w:val="Normal"/>
    <w:qFormat/>
    <w:pPr>
      <w:suppressAutoHyphens w:val="true"/>
      <w:bidi w:val="0"/>
    </w:pPr>
    <w:rPr>
      <w:rFonts w:ascii="Times New Roman" w:hAnsi="Times New Roman" w:eastAsia="Times New Roman" w:cs="Times New Roman"/>
      <w:color w:val="000000"/>
      <w:szCs w:val="24"/>
      <w:lang w:val="ru-RU" w:bidi="hi-IN"/>
    </w:rPr>
  </w:style>
  <w:style w:type="paragraph" w:styleId="1">
    <w:name w:val="Без интервала1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Mangal"/>
      <w:color w:val="auto"/>
      <w:kern w:val="0"/>
      <w:sz w:val="24"/>
      <w:szCs w:val="24"/>
      <w:lang w:val="ru-RU" w:eastAsia="zh-CN" w:bidi="hi-IN"/>
    </w:rPr>
  </w:style>
  <w:style w:type="paragraph" w:styleId="11">
    <w:name w:val="Обычный1"/>
    <w:qFormat/>
    <w:pPr>
      <w:widowControl w:val="false"/>
      <w:suppressAutoHyphens w:val="true"/>
      <w:overflowPunct w:val="true"/>
      <w:bidi w:val="0"/>
      <w:snapToGrid w:val="false"/>
      <w:spacing w:lineRule="auto" w:line="300" w:before="0" w:after="0"/>
      <w:ind w:firstLine="520"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uk-UA" w:eastAsia="zh-CN" w:bidi="ar-SA"/>
    </w:rPr>
  </w:style>
  <w:style w:type="paragraph" w:styleId="Standard1">
    <w:name w:val="Standard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de-DE" w:eastAsia="zh-CN" w:bidi="fa-IR"/>
    </w:rPr>
  </w:style>
  <w:style w:type="paragraph" w:styleId="Style20">
    <w:name w:val="Абзац списка"/>
    <w:basedOn w:val="Standard1"/>
    <w:qFormat/>
    <w:pPr>
      <w:ind w:hanging="0" w:left="720" w:right="0"/>
    </w:pPr>
    <w:rPr/>
  </w:style>
  <w:style w:type="paragraph" w:styleId="Style21">
    <w:name w:val="Обычный (веб)"/>
    <w:basedOn w:val="Normal"/>
    <w:qFormat/>
    <w:pPr>
      <w:suppressAutoHyphens w:val="false"/>
      <w:spacing w:before="280" w:after="280"/>
    </w:pPr>
    <w:rPr>
      <w:szCs w:val="24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LibreOffice/7.6.6.3$Windows_X86_64 LibreOffice_project/d97b2716a9a4a2ce1391dee1765565ea469b0ae7</Application>
  <AppVersion>15.0000</AppVersion>
  <Pages>2</Pages>
  <Words>420</Words>
  <Characters>2804</Characters>
  <CharactersWithSpaces>3154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2021-12-03T08:58:00Z</dcterms:created>
  <dc:creator>ugkh5</dc:creator>
  <dc:description/>
  <dc:language>uk-UA</dc:language>
  <cp:lastModifiedBy/>
  <cp:lastPrinted>2025-01-10T14:04:43Z</cp:lastPrinted>
  <dcterms:modified xsi:type="dcterms:W3CDTF">2025-02-04T16:36:49Z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